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69" w:rsidRDefault="00641D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Threat of Substitute Products</w:t>
      </w:r>
    </w:p>
    <w:p w:rsidR="00641D69" w:rsidRPr="00641D69" w:rsidRDefault="00641D69">
      <w:p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1350"/>
        <w:gridCol w:w="1350"/>
        <w:gridCol w:w="1188"/>
      </w:tblGrid>
      <w:tr w:rsidR="00641D69" w:rsidTr="00641D69">
        <w:trPr>
          <w:trHeight w:val="503"/>
        </w:trPr>
        <w:tc>
          <w:tcPr>
            <w:tcW w:w="5688" w:type="dxa"/>
            <w:tcBorders>
              <w:top w:val="thickThinSmallGap" w:sz="24" w:space="0" w:color="auto"/>
              <w:left w:val="single" w:sz="18" w:space="0" w:color="auto"/>
              <w:right w:val="dashSmallGap" w:sz="4" w:space="0" w:color="auto"/>
            </w:tcBorders>
          </w:tcPr>
          <w:p w:rsidR="00641D69" w:rsidRDefault="00641D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Threat of Substitute Products are high when:</w:t>
            </w:r>
          </w:p>
        </w:tc>
        <w:tc>
          <w:tcPr>
            <w:tcW w:w="1350" w:type="dxa"/>
            <w:tcBorders>
              <w:top w:val="thickThinSmallGap" w:sz="24" w:space="0" w:color="auto"/>
              <w:left w:val="dashSmallGap" w:sz="4" w:space="0" w:color="auto"/>
              <w:right w:val="dashSmallGap" w:sz="4" w:space="0" w:color="auto"/>
            </w:tcBorders>
          </w:tcPr>
          <w:p w:rsidR="00641D69" w:rsidRDefault="00641D69" w:rsidP="00641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High</w:t>
            </w:r>
          </w:p>
        </w:tc>
        <w:tc>
          <w:tcPr>
            <w:tcW w:w="1350" w:type="dxa"/>
            <w:tcBorders>
              <w:top w:val="thickThinSmallGap" w:sz="24" w:space="0" w:color="auto"/>
              <w:left w:val="dashSmallGap" w:sz="4" w:space="0" w:color="auto"/>
              <w:right w:val="dashSmallGap" w:sz="4" w:space="0" w:color="auto"/>
            </w:tcBorders>
          </w:tcPr>
          <w:p w:rsidR="00641D69" w:rsidRDefault="00641D69" w:rsidP="00641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Medium</w:t>
            </w:r>
          </w:p>
        </w:tc>
        <w:tc>
          <w:tcPr>
            <w:tcW w:w="1188" w:type="dxa"/>
            <w:tcBorders>
              <w:top w:val="thickThinSmallGap" w:sz="24" w:space="0" w:color="auto"/>
              <w:left w:val="dashSmallGap" w:sz="4" w:space="0" w:color="auto"/>
              <w:right w:val="single" w:sz="18" w:space="0" w:color="auto"/>
            </w:tcBorders>
          </w:tcPr>
          <w:p w:rsidR="00641D69" w:rsidRDefault="00641D69" w:rsidP="00641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Low</w:t>
            </w:r>
          </w:p>
        </w:tc>
      </w:tr>
      <w:tr w:rsidR="00641D69" w:rsidTr="00641D69">
        <w:tc>
          <w:tcPr>
            <w:tcW w:w="5688" w:type="dxa"/>
            <w:tcBorders>
              <w:left w:val="single" w:sz="18" w:space="0" w:color="auto"/>
              <w:right w:val="dashSmallGap" w:sz="4" w:space="0" w:color="auto"/>
            </w:tcBorders>
          </w:tcPr>
          <w:p w:rsidR="00641D69" w:rsidRDefault="00641D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Differentiation of Substitute Product</w:t>
            </w:r>
          </w:p>
        </w:tc>
        <w:tc>
          <w:tcPr>
            <w:tcW w:w="135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41D69" w:rsidRDefault="00641D69" w:rsidP="00641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C00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0"/>
                <w:shd w:val="clear" w:color="auto" w:fill="FFFFFF"/>
              </w:rPr>
              <w:t>✔</w:t>
            </w:r>
          </w:p>
        </w:tc>
        <w:tc>
          <w:tcPr>
            <w:tcW w:w="135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41D69" w:rsidRDefault="00641D69" w:rsidP="00641D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8" w:type="dxa"/>
            <w:tcBorders>
              <w:left w:val="dashSmallGap" w:sz="4" w:space="0" w:color="auto"/>
              <w:right w:val="single" w:sz="18" w:space="0" w:color="auto"/>
            </w:tcBorders>
          </w:tcPr>
          <w:p w:rsidR="00641D69" w:rsidRDefault="00641D69" w:rsidP="00641D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41D69" w:rsidTr="00641D69">
        <w:tc>
          <w:tcPr>
            <w:tcW w:w="5688" w:type="dxa"/>
            <w:tcBorders>
              <w:left w:val="single" w:sz="18" w:space="0" w:color="auto"/>
              <w:bottom w:val="thinThickSmallGap" w:sz="24" w:space="0" w:color="auto"/>
              <w:right w:val="dashSmallGap" w:sz="4" w:space="0" w:color="auto"/>
            </w:tcBorders>
          </w:tcPr>
          <w:p w:rsidR="00641D69" w:rsidRDefault="00641D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Rate of improvement in price performance relationship of substitute products</w:t>
            </w:r>
          </w:p>
        </w:tc>
        <w:tc>
          <w:tcPr>
            <w:tcW w:w="1350" w:type="dxa"/>
            <w:tcBorders>
              <w:left w:val="dashSmallGap" w:sz="4" w:space="0" w:color="auto"/>
              <w:bottom w:val="thinThickSmallGap" w:sz="24" w:space="0" w:color="auto"/>
              <w:right w:val="dashSmallGap" w:sz="4" w:space="0" w:color="auto"/>
            </w:tcBorders>
          </w:tcPr>
          <w:p w:rsidR="00641D69" w:rsidRDefault="00641D69" w:rsidP="00641D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  <w:tcBorders>
              <w:left w:val="dashSmallGap" w:sz="4" w:space="0" w:color="auto"/>
              <w:bottom w:val="thinThickSmallGap" w:sz="24" w:space="0" w:color="auto"/>
              <w:right w:val="dashSmallGap" w:sz="4" w:space="0" w:color="auto"/>
            </w:tcBorders>
          </w:tcPr>
          <w:p w:rsidR="00641D69" w:rsidRDefault="00641D69" w:rsidP="00641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C00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0"/>
                <w:shd w:val="clear" w:color="auto" w:fill="FFFFFF"/>
              </w:rPr>
              <w:t>✔</w:t>
            </w:r>
          </w:p>
        </w:tc>
        <w:tc>
          <w:tcPr>
            <w:tcW w:w="1188" w:type="dxa"/>
            <w:tcBorders>
              <w:left w:val="dashSmallGap" w:sz="4" w:space="0" w:color="auto"/>
              <w:bottom w:val="thinThickSmallGap" w:sz="24" w:space="0" w:color="auto"/>
              <w:right w:val="single" w:sz="18" w:space="0" w:color="auto"/>
            </w:tcBorders>
          </w:tcPr>
          <w:p w:rsidR="00641D69" w:rsidRDefault="00641D69" w:rsidP="00641D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F0358" w:rsidRDefault="000F0358">
      <w:pPr>
        <w:rPr>
          <w:rFonts w:ascii="Times New Roman" w:hAnsi="Times New Roman" w:cs="Times New Roman"/>
          <w:sz w:val="28"/>
        </w:rPr>
      </w:pPr>
    </w:p>
    <w:p w:rsidR="00641D69" w:rsidRPr="00641D69" w:rsidRDefault="00641D69">
      <w:pPr>
        <w:rPr>
          <w:rFonts w:ascii="Times New Roman" w:hAnsi="Times New Roman" w:cs="Times New Roman"/>
          <w:sz w:val="28"/>
        </w:rPr>
      </w:pPr>
      <w:r w:rsidRPr="00641D69">
        <w:rPr>
          <w:rFonts w:ascii="Times New Roman" w:hAnsi="Times New Roman" w:cs="Times New Roman"/>
          <w:sz w:val="28"/>
        </w:rPr>
        <w:t>The threat of substitute products is considered to be medium-high. Products from local street food</w:t>
      </w:r>
      <w:r>
        <w:rPr>
          <w:rFonts w:ascii="Times New Roman" w:hAnsi="Times New Roman" w:cs="Times New Roman"/>
          <w:sz w:val="28"/>
        </w:rPr>
        <w:t xml:space="preserve"> </w:t>
      </w:r>
      <w:r w:rsidRPr="00641D69">
        <w:rPr>
          <w:rFonts w:ascii="Times New Roman" w:hAnsi="Times New Roman" w:cs="Times New Roman"/>
          <w:sz w:val="28"/>
        </w:rPr>
        <w:t>can be considered a major substitute, as well as food from its direct competitors in the industry.</w:t>
      </w:r>
      <w:bookmarkStart w:id="0" w:name="_GoBack"/>
      <w:bookmarkEnd w:id="0"/>
    </w:p>
    <w:sectPr w:rsidR="00641D69" w:rsidRPr="00641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69"/>
    <w:rsid w:val="000F0358"/>
    <w:rsid w:val="001C07F8"/>
    <w:rsid w:val="006242DF"/>
    <w:rsid w:val="0064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2012-08-09T07:36:00Z</dcterms:created>
  <dcterms:modified xsi:type="dcterms:W3CDTF">2012-08-09T07:40:00Z</dcterms:modified>
</cp:coreProperties>
</file>