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58" w:rsidRDefault="002D5B4E">
      <w:pPr>
        <w:rPr>
          <w:rFonts w:ascii="Times New Roman" w:hAnsi="Times New Roman" w:cs="Times New Roman"/>
          <w:sz w:val="28"/>
        </w:rPr>
      </w:pPr>
      <w:r w:rsidRPr="002D5B4E">
        <w:rPr>
          <w:rFonts w:ascii="Times New Roman" w:hAnsi="Times New Roman" w:cs="Times New Roman"/>
          <w:sz w:val="28"/>
        </w:rPr>
        <w:t>Intensity of Rivalry among Competitors</w:t>
      </w:r>
    </w:p>
    <w:p w:rsidR="002D5B4E" w:rsidRDefault="002D5B4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1350"/>
        <w:gridCol w:w="1350"/>
        <w:gridCol w:w="1188"/>
      </w:tblGrid>
      <w:tr w:rsidR="002D5B4E" w:rsidTr="002D5B4E">
        <w:trPr>
          <w:trHeight w:val="503"/>
        </w:trPr>
        <w:tc>
          <w:tcPr>
            <w:tcW w:w="5688" w:type="dxa"/>
            <w:tcBorders>
              <w:top w:val="thickThinSmallGap" w:sz="24" w:space="0" w:color="auto"/>
              <w:left w:val="single" w:sz="18" w:space="0" w:color="auto"/>
              <w:right w:val="dashSmallGap" w:sz="4" w:space="0" w:color="auto"/>
            </w:tcBorders>
          </w:tcPr>
          <w:p w:rsidR="002D5B4E" w:rsidRDefault="002D5B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Intensity of Rivalry is high when:</w:t>
            </w:r>
          </w:p>
        </w:tc>
        <w:tc>
          <w:tcPr>
            <w:tcW w:w="1350" w:type="dxa"/>
            <w:tcBorders>
              <w:top w:val="thickThinSmallGap" w:sz="24" w:space="0" w:color="auto"/>
              <w:left w:val="dashSmallGap" w:sz="4" w:space="0" w:color="auto"/>
              <w:right w:val="dashSmallGap" w:sz="4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High</w:t>
            </w:r>
          </w:p>
        </w:tc>
        <w:tc>
          <w:tcPr>
            <w:tcW w:w="1350" w:type="dxa"/>
            <w:tcBorders>
              <w:top w:val="thickThinSmallGap" w:sz="24" w:space="0" w:color="auto"/>
              <w:left w:val="dashSmallGap" w:sz="4" w:space="0" w:color="auto"/>
              <w:right w:val="dashSmallGap" w:sz="4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Medium</w:t>
            </w:r>
          </w:p>
        </w:tc>
        <w:tc>
          <w:tcPr>
            <w:tcW w:w="1188" w:type="dxa"/>
            <w:tcBorders>
              <w:top w:val="thickThinSmallGap" w:sz="24" w:space="0" w:color="auto"/>
              <w:left w:val="dashSmallGap" w:sz="4" w:space="0" w:color="auto"/>
              <w:right w:val="single" w:sz="18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Low</w:t>
            </w:r>
          </w:p>
        </w:tc>
      </w:tr>
      <w:tr w:rsidR="002D5B4E" w:rsidTr="002D5B4E">
        <w:tc>
          <w:tcPr>
            <w:tcW w:w="5688" w:type="dxa"/>
            <w:tcBorders>
              <w:left w:val="single" w:sz="18" w:space="0" w:color="auto"/>
              <w:right w:val="dashSmallGap" w:sz="4" w:space="0" w:color="auto"/>
            </w:tcBorders>
          </w:tcPr>
          <w:p w:rsidR="002D5B4E" w:rsidRDefault="002D5B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Number of Competitors</w:t>
            </w: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C00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0"/>
                <w:shd w:val="clear" w:color="auto" w:fill="FFFFFF"/>
              </w:rPr>
              <w:t>✔</w:t>
            </w: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  <w:tcBorders>
              <w:left w:val="dashSmallGap" w:sz="4" w:space="0" w:color="auto"/>
              <w:right w:val="single" w:sz="18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5B4E" w:rsidTr="002D5B4E">
        <w:tc>
          <w:tcPr>
            <w:tcW w:w="5688" w:type="dxa"/>
            <w:tcBorders>
              <w:left w:val="single" w:sz="18" w:space="0" w:color="auto"/>
              <w:right w:val="dashSmallGap" w:sz="4" w:space="0" w:color="auto"/>
            </w:tcBorders>
          </w:tcPr>
          <w:p w:rsidR="002D5B4E" w:rsidRDefault="002D5B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Industry growth rate</w:t>
            </w: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C00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0"/>
                <w:shd w:val="clear" w:color="auto" w:fill="FFFFFF"/>
              </w:rPr>
              <w:t>✔</w:t>
            </w: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  <w:tcBorders>
              <w:left w:val="dashSmallGap" w:sz="4" w:space="0" w:color="auto"/>
              <w:right w:val="single" w:sz="18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5B4E" w:rsidTr="002D5B4E">
        <w:tc>
          <w:tcPr>
            <w:tcW w:w="5688" w:type="dxa"/>
            <w:tcBorders>
              <w:left w:val="single" w:sz="18" w:space="0" w:color="auto"/>
              <w:right w:val="dashSmallGap" w:sz="4" w:space="0" w:color="auto"/>
            </w:tcBorders>
          </w:tcPr>
          <w:p w:rsidR="002D5B4E" w:rsidRDefault="002D5B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Fixed cost</w:t>
            </w: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C00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0"/>
                <w:shd w:val="clear" w:color="auto" w:fill="FFFFFF"/>
              </w:rPr>
              <w:t>✔</w:t>
            </w:r>
          </w:p>
        </w:tc>
        <w:tc>
          <w:tcPr>
            <w:tcW w:w="1188" w:type="dxa"/>
            <w:tcBorders>
              <w:left w:val="dashSmallGap" w:sz="4" w:space="0" w:color="auto"/>
              <w:right w:val="single" w:sz="18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5B4E" w:rsidTr="002D5B4E">
        <w:tc>
          <w:tcPr>
            <w:tcW w:w="5688" w:type="dxa"/>
            <w:tcBorders>
              <w:left w:val="single" w:sz="18" w:space="0" w:color="auto"/>
              <w:right w:val="dashSmallGap" w:sz="4" w:space="0" w:color="auto"/>
            </w:tcBorders>
          </w:tcPr>
          <w:p w:rsidR="002D5B4E" w:rsidRDefault="002D5B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Storage cost</w:t>
            </w: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C00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0"/>
                <w:shd w:val="clear" w:color="auto" w:fill="FFFFFF"/>
              </w:rPr>
              <w:t>✔</w:t>
            </w:r>
          </w:p>
        </w:tc>
        <w:tc>
          <w:tcPr>
            <w:tcW w:w="1188" w:type="dxa"/>
            <w:tcBorders>
              <w:left w:val="dashSmallGap" w:sz="4" w:space="0" w:color="auto"/>
              <w:right w:val="single" w:sz="18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5B4E" w:rsidTr="002D5B4E">
        <w:tc>
          <w:tcPr>
            <w:tcW w:w="5688" w:type="dxa"/>
            <w:tcBorders>
              <w:left w:val="single" w:sz="18" w:space="0" w:color="auto"/>
              <w:right w:val="dashSmallGap" w:sz="4" w:space="0" w:color="auto"/>
            </w:tcBorders>
          </w:tcPr>
          <w:p w:rsidR="002D5B4E" w:rsidRDefault="002D5B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Product differentiation</w:t>
            </w: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C00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0"/>
                <w:shd w:val="clear" w:color="auto" w:fill="FFFFFF"/>
              </w:rPr>
              <w:t>✔</w:t>
            </w: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  <w:tcBorders>
              <w:left w:val="dashSmallGap" w:sz="4" w:space="0" w:color="auto"/>
              <w:right w:val="single" w:sz="18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5B4E" w:rsidTr="002D5B4E">
        <w:tc>
          <w:tcPr>
            <w:tcW w:w="5688" w:type="dxa"/>
            <w:tcBorders>
              <w:left w:val="single" w:sz="18" w:space="0" w:color="auto"/>
              <w:right w:val="dashSmallGap" w:sz="4" w:space="0" w:color="auto"/>
            </w:tcBorders>
          </w:tcPr>
          <w:p w:rsidR="002D5B4E" w:rsidRDefault="002D5B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Switching costs</w:t>
            </w: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  <w:tcBorders>
              <w:left w:val="dashSmallGap" w:sz="4" w:space="0" w:color="auto"/>
              <w:right w:val="single" w:sz="18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C00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0"/>
                <w:shd w:val="clear" w:color="auto" w:fill="FFFFFF"/>
              </w:rPr>
              <w:t>✔</w:t>
            </w:r>
          </w:p>
        </w:tc>
      </w:tr>
      <w:tr w:rsidR="002D5B4E" w:rsidTr="002D5B4E">
        <w:tc>
          <w:tcPr>
            <w:tcW w:w="5688" w:type="dxa"/>
            <w:tcBorders>
              <w:left w:val="single" w:sz="18" w:space="0" w:color="auto"/>
              <w:right w:val="dashSmallGap" w:sz="4" w:space="0" w:color="auto"/>
            </w:tcBorders>
          </w:tcPr>
          <w:p w:rsidR="002D5B4E" w:rsidRDefault="002D5B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Exit barriers</w:t>
            </w: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C00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0"/>
                <w:shd w:val="clear" w:color="auto" w:fill="FFFFFF"/>
              </w:rPr>
              <w:t>✔</w:t>
            </w:r>
          </w:p>
        </w:tc>
        <w:tc>
          <w:tcPr>
            <w:tcW w:w="1188" w:type="dxa"/>
            <w:tcBorders>
              <w:left w:val="dashSmallGap" w:sz="4" w:space="0" w:color="auto"/>
              <w:right w:val="single" w:sz="18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5B4E" w:rsidTr="002D5B4E">
        <w:tc>
          <w:tcPr>
            <w:tcW w:w="5688" w:type="dxa"/>
            <w:tcBorders>
              <w:left w:val="single" w:sz="18" w:space="0" w:color="auto"/>
              <w:bottom w:val="thinThickSmallGap" w:sz="24" w:space="0" w:color="auto"/>
              <w:right w:val="dashSmallGap" w:sz="4" w:space="0" w:color="auto"/>
            </w:tcBorders>
          </w:tcPr>
          <w:p w:rsidR="002D5B4E" w:rsidRDefault="002D5B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Strategic stakes</w:t>
            </w:r>
          </w:p>
        </w:tc>
        <w:tc>
          <w:tcPr>
            <w:tcW w:w="1350" w:type="dxa"/>
            <w:tcBorders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C00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0"/>
                <w:shd w:val="clear" w:color="auto" w:fill="FFFFFF"/>
              </w:rPr>
              <w:t>✔</w:t>
            </w:r>
          </w:p>
        </w:tc>
        <w:tc>
          <w:tcPr>
            <w:tcW w:w="1350" w:type="dxa"/>
            <w:tcBorders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  <w:tcBorders>
              <w:left w:val="dashSmallGap" w:sz="4" w:space="0" w:color="auto"/>
              <w:bottom w:val="thinThickSmallGap" w:sz="24" w:space="0" w:color="auto"/>
              <w:right w:val="single" w:sz="18" w:space="0" w:color="auto"/>
            </w:tcBorders>
          </w:tcPr>
          <w:p w:rsidR="002D5B4E" w:rsidRDefault="002D5B4E" w:rsidP="002D5B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D5B4E" w:rsidRDefault="002D5B4E">
      <w:pPr>
        <w:rPr>
          <w:rFonts w:ascii="Times New Roman" w:hAnsi="Times New Roman" w:cs="Times New Roman"/>
          <w:sz w:val="28"/>
        </w:rPr>
      </w:pPr>
    </w:p>
    <w:p w:rsidR="002D5B4E" w:rsidRPr="002D5B4E" w:rsidRDefault="002D5B4E">
      <w:pPr>
        <w:rPr>
          <w:rFonts w:ascii="Times New Roman" w:hAnsi="Times New Roman" w:cs="Times New Roman"/>
          <w:sz w:val="28"/>
        </w:rPr>
      </w:pPr>
      <w:r w:rsidRPr="002D5B4E">
        <w:rPr>
          <w:rFonts w:ascii="Times New Roman" w:hAnsi="Times New Roman" w:cs="Times New Roman"/>
          <w:sz w:val="28"/>
        </w:rPr>
        <w:t>The intensity of rivalry among competitors is considered to be medium-high. The fast-food</w:t>
      </w:r>
      <w:r>
        <w:rPr>
          <w:rFonts w:ascii="Times New Roman" w:hAnsi="Times New Roman" w:cs="Times New Roman"/>
          <w:sz w:val="28"/>
        </w:rPr>
        <w:t xml:space="preserve"> </w:t>
      </w:r>
      <w:r w:rsidRPr="002D5B4E">
        <w:rPr>
          <w:rFonts w:ascii="Times New Roman" w:hAnsi="Times New Roman" w:cs="Times New Roman"/>
          <w:sz w:val="28"/>
        </w:rPr>
        <w:t>industry can be described as a lucrative segment with high profitability. Within the Philippines,</w:t>
      </w:r>
      <w:r>
        <w:rPr>
          <w:rFonts w:ascii="Times New Roman" w:hAnsi="Times New Roman" w:cs="Times New Roman"/>
          <w:sz w:val="28"/>
        </w:rPr>
        <w:t xml:space="preserve"> </w:t>
      </w:r>
      <w:r w:rsidRPr="002D5B4E">
        <w:rPr>
          <w:rFonts w:ascii="Times New Roman" w:hAnsi="Times New Roman" w:cs="Times New Roman"/>
          <w:sz w:val="28"/>
        </w:rPr>
        <w:t>there are already other fast-food players competing with Jollibee</w:t>
      </w:r>
      <w:r>
        <w:rPr>
          <w:rFonts w:ascii="Times New Roman" w:hAnsi="Times New Roman" w:cs="Times New Roman"/>
          <w:sz w:val="28"/>
        </w:rPr>
        <w:t>.</w:t>
      </w:r>
    </w:p>
    <w:sectPr w:rsidR="002D5B4E" w:rsidRPr="002D5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4E"/>
    <w:rsid w:val="000F0358"/>
    <w:rsid w:val="001C07F8"/>
    <w:rsid w:val="002D5B4E"/>
    <w:rsid w:val="006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2012-08-09T07:42:00Z</dcterms:created>
  <dcterms:modified xsi:type="dcterms:W3CDTF">2012-08-09T07:48:00Z</dcterms:modified>
</cp:coreProperties>
</file>