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B5" w:rsidRDefault="00182CB5">
      <w:pPr>
        <w:rPr>
          <w:rFonts w:ascii="Times New Roman" w:hAnsi="Times New Roman" w:cs="Times New Roman"/>
          <w:sz w:val="28"/>
        </w:rPr>
      </w:pPr>
      <w:r w:rsidRPr="00182CB5">
        <w:rPr>
          <w:rFonts w:ascii="Times New Roman" w:hAnsi="Times New Roman" w:cs="Times New Roman"/>
          <w:sz w:val="28"/>
        </w:rPr>
        <w:t>Bargaining Power of Suppliers</w:t>
      </w:r>
    </w:p>
    <w:p w:rsidR="00182CB5" w:rsidRPr="00182CB5" w:rsidRDefault="00182CB5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260"/>
        <w:gridCol w:w="1350"/>
        <w:gridCol w:w="1188"/>
      </w:tblGrid>
      <w:tr w:rsidR="00182CB5" w:rsidTr="00182CB5">
        <w:trPr>
          <w:trHeight w:val="423"/>
        </w:trPr>
        <w:tc>
          <w:tcPr>
            <w:tcW w:w="5778" w:type="dxa"/>
            <w:tcBorders>
              <w:top w:val="thickThinSmallGap" w:sz="24" w:space="0" w:color="auto"/>
              <w:left w:val="single" w:sz="18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Bargaining Power Of Suppliers are High when:</w:t>
            </w:r>
          </w:p>
        </w:tc>
        <w:tc>
          <w:tcPr>
            <w:tcW w:w="1260" w:type="dxa"/>
            <w:tcBorders>
              <w:top w:val="thickThinSmallGap" w:sz="24" w:space="0" w:color="auto"/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High</w:t>
            </w:r>
          </w:p>
        </w:tc>
        <w:tc>
          <w:tcPr>
            <w:tcW w:w="1350" w:type="dxa"/>
            <w:tcBorders>
              <w:top w:val="thickThinSmallGap" w:sz="24" w:space="0" w:color="auto"/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Medium</w:t>
            </w:r>
          </w:p>
        </w:tc>
        <w:tc>
          <w:tcPr>
            <w:tcW w:w="1188" w:type="dxa"/>
            <w:tcBorders>
              <w:top w:val="thickThinSmallGap" w:sz="24" w:space="0" w:color="auto"/>
              <w:left w:val="dashSmallGap" w:sz="4" w:space="0" w:color="auto"/>
              <w:right w:val="single" w:sz="18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Low</w:t>
            </w:r>
          </w:p>
        </w:tc>
      </w:tr>
      <w:tr w:rsidR="00182CB5" w:rsidTr="00182CB5">
        <w:tc>
          <w:tcPr>
            <w:tcW w:w="5778" w:type="dxa"/>
            <w:tcBorders>
              <w:left w:val="single" w:sz="18" w:space="0" w:color="auto"/>
              <w:right w:val="dashSmallGap" w:sz="4" w:space="0" w:color="auto"/>
            </w:tcBorders>
          </w:tcPr>
          <w:p w:rsidR="00182CB5" w:rsidRDefault="00182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Concentration of suppliers relative to buyer industry</w:t>
            </w:r>
          </w:p>
        </w:tc>
        <w:tc>
          <w:tcPr>
            <w:tcW w:w="1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2CB5" w:rsidTr="00182CB5">
        <w:tc>
          <w:tcPr>
            <w:tcW w:w="5778" w:type="dxa"/>
            <w:tcBorders>
              <w:left w:val="single" w:sz="18" w:space="0" w:color="auto"/>
              <w:right w:val="dashSmallGap" w:sz="4" w:space="0" w:color="auto"/>
            </w:tcBorders>
          </w:tcPr>
          <w:p w:rsidR="00182CB5" w:rsidRDefault="00182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Availability of substitute products</w:t>
            </w:r>
          </w:p>
        </w:tc>
        <w:tc>
          <w:tcPr>
            <w:tcW w:w="1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</w:tr>
      <w:tr w:rsidR="00182CB5" w:rsidTr="00182CB5">
        <w:tc>
          <w:tcPr>
            <w:tcW w:w="5778" w:type="dxa"/>
            <w:tcBorders>
              <w:left w:val="single" w:sz="18" w:space="0" w:color="auto"/>
              <w:right w:val="dashSmallGap" w:sz="4" w:space="0" w:color="auto"/>
            </w:tcBorders>
          </w:tcPr>
          <w:p w:rsidR="00182CB5" w:rsidRDefault="00182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Importance of customers to suppliers</w:t>
            </w:r>
          </w:p>
        </w:tc>
        <w:tc>
          <w:tcPr>
            <w:tcW w:w="1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</w:tr>
      <w:tr w:rsidR="00182CB5" w:rsidTr="00182CB5">
        <w:tc>
          <w:tcPr>
            <w:tcW w:w="5778" w:type="dxa"/>
            <w:tcBorders>
              <w:left w:val="single" w:sz="18" w:space="0" w:color="auto"/>
              <w:right w:val="dashSmallGap" w:sz="4" w:space="0" w:color="auto"/>
            </w:tcBorders>
          </w:tcPr>
          <w:p w:rsidR="00182CB5" w:rsidRDefault="00182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Differentiation of the suppliers products and services</w:t>
            </w:r>
          </w:p>
        </w:tc>
        <w:tc>
          <w:tcPr>
            <w:tcW w:w="1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2CB5" w:rsidTr="00182CB5">
        <w:tc>
          <w:tcPr>
            <w:tcW w:w="5778" w:type="dxa"/>
            <w:tcBorders>
              <w:left w:val="single" w:sz="18" w:space="0" w:color="auto"/>
              <w:right w:val="dashSmallGap" w:sz="4" w:space="0" w:color="auto"/>
            </w:tcBorders>
          </w:tcPr>
          <w:p w:rsidR="00182CB5" w:rsidRDefault="00182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Switching cost of buyer</w:t>
            </w:r>
          </w:p>
        </w:tc>
        <w:tc>
          <w:tcPr>
            <w:tcW w:w="12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3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right w:val="single" w:sz="18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2CB5" w:rsidTr="00182CB5">
        <w:tc>
          <w:tcPr>
            <w:tcW w:w="5778" w:type="dxa"/>
            <w:tcBorders>
              <w:left w:val="single" w:sz="18" w:space="0" w:color="auto"/>
              <w:bottom w:val="thinThickSmallGap" w:sz="24" w:space="0" w:color="auto"/>
              <w:right w:val="dashSmallGap" w:sz="4" w:space="0" w:color="auto"/>
            </w:tcBorders>
          </w:tcPr>
          <w:p w:rsidR="00182CB5" w:rsidRDefault="00182C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Threat of forward integration by the supplier</w:t>
            </w:r>
          </w:p>
        </w:tc>
        <w:tc>
          <w:tcPr>
            <w:tcW w:w="1260" w:type="dxa"/>
            <w:tcBorders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C00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0"/>
                <w:shd w:val="clear" w:color="auto" w:fill="FFFFFF"/>
              </w:rPr>
              <w:t>✔</w:t>
            </w:r>
          </w:p>
        </w:tc>
        <w:tc>
          <w:tcPr>
            <w:tcW w:w="1350" w:type="dxa"/>
            <w:tcBorders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8" w:type="dxa"/>
            <w:tcBorders>
              <w:left w:val="dashSmallGap" w:sz="4" w:space="0" w:color="auto"/>
              <w:bottom w:val="thinThickSmallGap" w:sz="24" w:space="0" w:color="auto"/>
              <w:right w:val="single" w:sz="18" w:space="0" w:color="auto"/>
            </w:tcBorders>
          </w:tcPr>
          <w:p w:rsidR="00182CB5" w:rsidRDefault="00182CB5" w:rsidP="00182C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0358" w:rsidRDefault="000F0358">
      <w:pPr>
        <w:rPr>
          <w:rFonts w:ascii="Times New Roman" w:hAnsi="Times New Roman" w:cs="Times New Roman"/>
          <w:sz w:val="28"/>
        </w:rPr>
      </w:pPr>
    </w:p>
    <w:p w:rsidR="00182CB5" w:rsidRPr="00182CB5" w:rsidRDefault="00056987">
      <w:pPr>
        <w:rPr>
          <w:rFonts w:ascii="Times New Roman" w:hAnsi="Times New Roman" w:cs="Times New Roman"/>
          <w:sz w:val="28"/>
        </w:rPr>
      </w:pPr>
      <w:r w:rsidRPr="00056987">
        <w:rPr>
          <w:rFonts w:ascii="Times New Roman" w:hAnsi="Times New Roman" w:cs="Times New Roman"/>
          <w:sz w:val="28"/>
        </w:rPr>
        <w:t>The bargaining powers of suppliers are low. The availability of raw materials for the fast-food</w:t>
      </w:r>
      <w:r>
        <w:rPr>
          <w:rFonts w:ascii="Times New Roman" w:hAnsi="Times New Roman" w:cs="Times New Roman"/>
          <w:sz w:val="28"/>
        </w:rPr>
        <w:t xml:space="preserve"> </w:t>
      </w:r>
      <w:r w:rsidRPr="00056987">
        <w:rPr>
          <w:rFonts w:ascii="Times New Roman" w:hAnsi="Times New Roman" w:cs="Times New Roman"/>
          <w:sz w:val="28"/>
        </w:rPr>
        <w:t>industry is readily available not only locally, but available from neighboring countries as well. For</w:t>
      </w:r>
      <w:r>
        <w:rPr>
          <w:rFonts w:ascii="Times New Roman" w:hAnsi="Times New Roman" w:cs="Times New Roman"/>
          <w:sz w:val="28"/>
        </w:rPr>
        <w:t xml:space="preserve"> </w:t>
      </w:r>
      <w:r w:rsidRPr="00056987">
        <w:rPr>
          <w:rFonts w:ascii="Times New Roman" w:hAnsi="Times New Roman" w:cs="Times New Roman"/>
          <w:sz w:val="28"/>
        </w:rPr>
        <w:t>example, due to the high rice prices in the Philippines, Jollibee can reduce its costs and source for rice in Thailand, Vietnam or Cambodia.</w:t>
      </w:r>
      <w:bookmarkStart w:id="0" w:name="_GoBack"/>
      <w:bookmarkEnd w:id="0"/>
    </w:p>
    <w:sectPr w:rsidR="00182CB5" w:rsidRPr="00182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B5"/>
    <w:rsid w:val="00056987"/>
    <w:rsid w:val="000F0358"/>
    <w:rsid w:val="00182CB5"/>
    <w:rsid w:val="001C07F8"/>
    <w:rsid w:val="006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2012-08-09T07:04:00Z</dcterms:created>
  <dcterms:modified xsi:type="dcterms:W3CDTF">2012-08-09T07:17:00Z</dcterms:modified>
</cp:coreProperties>
</file>