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58" w:rsidRDefault="00CE469B">
      <w:pPr>
        <w:rPr>
          <w:rFonts w:ascii="Times New Roman" w:hAnsi="Times New Roman" w:cs="Times New Roman"/>
          <w:sz w:val="28"/>
        </w:rPr>
      </w:pPr>
      <w:r w:rsidRPr="00CE469B">
        <w:rPr>
          <w:rFonts w:ascii="Times New Roman" w:hAnsi="Times New Roman" w:cs="Times New Roman"/>
          <w:sz w:val="28"/>
        </w:rPr>
        <w:t>Bargaining Power of Buyers</w:t>
      </w:r>
    </w:p>
    <w:tbl>
      <w:tblPr>
        <w:tblStyle w:val="TableGrid"/>
        <w:tblW w:w="0" w:type="auto"/>
        <w:tblLook w:val="04A0" w:firstRow="1" w:lastRow="0" w:firstColumn="1" w:lastColumn="0" w:noHBand="0" w:noVBand="1"/>
      </w:tblPr>
      <w:tblGrid>
        <w:gridCol w:w="5958"/>
        <w:gridCol w:w="1170"/>
        <w:gridCol w:w="1260"/>
        <w:gridCol w:w="1188"/>
      </w:tblGrid>
      <w:tr w:rsidR="00CE469B" w:rsidTr="00CE469B">
        <w:trPr>
          <w:trHeight w:val="513"/>
        </w:trPr>
        <w:tc>
          <w:tcPr>
            <w:tcW w:w="5958" w:type="dxa"/>
            <w:tcBorders>
              <w:top w:val="thickThinSmallGap" w:sz="24" w:space="0" w:color="auto"/>
              <w:left w:val="single" w:sz="18" w:space="0" w:color="auto"/>
              <w:right w:val="dashSmallGap" w:sz="4" w:space="0" w:color="auto"/>
            </w:tcBorders>
          </w:tcPr>
          <w:p w:rsidR="00CE469B" w:rsidRDefault="00CE469B">
            <w:pPr>
              <w:rPr>
                <w:rFonts w:ascii="Times New Roman" w:hAnsi="Times New Roman" w:cs="Times New Roman"/>
                <w:sz w:val="28"/>
              </w:rPr>
            </w:pPr>
            <w:r>
              <w:rPr>
                <w:rFonts w:ascii="Times New Roman" w:hAnsi="Times New Roman" w:cs="Times New Roman"/>
                <w:sz w:val="28"/>
              </w:rPr>
              <w:t>Bargaining Power of Buyers are High when:</w:t>
            </w:r>
          </w:p>
        </w:tc>
        <w:tc>
          <w:tcPr>
            <w:tcW w:w="1170" w:type="dxa"/>
            <w:tcBorders>
              <w:top w:val="thickThinSmallGap" w:sz="24" w:space="0" w:color="auto"/>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r>
              <w:rPr>
                <w:rFonts w:ascii="Times New Roman" w:hAnsi="Times New Roman" w:cs="Times New Roman"/>
                <w:sz w:val="28"/>
              </w:rPr>
              <w:t>High</w:t>
            </w:r>
          </w:p>
        </w:tc>
        <w:tc>
          <w:tcPr>
            <w:tcW w:w="1260" w:type="dxa"/>
            <w:tcBorders>
              <w:top w:val="thickThinSmallGap" w:sz="24" w:space="0" w:color="auto"/>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r>
              <w:rPr>
                <w:rFonts w:ascii="Times New Roman" w:hAnsi="Times New Roman" w:cs="Times New Roman"/>
                <w:sz w:val="28"/>
              </w:rPr>
              <w:t>Medium</w:t>
            </w:r>
          </w:p>
        </w:tc>
        <w:tc>
          <w:tcPr>
            <w:tcW w:w="1188" w:type="dxa"/>
            <w:tcBorders>
              <w:top w:val="thickThinSmallGap" w:sz="24" w:space="0" w:color="auto"/>
              <w:left w:val="dashSmallGap" w:sz="4" w:space="0" w:color="auto"/>
              <w:right w:val="single" w:sz="18" w:space="0" w:color="auto"/>
            </w:tcBorders>
          </w:tcPr>
          <w:p w:rsidR="00CE469B" w:rsidRDefault="00CE469B" w:rsidP="00CE469B">
            <w:pPr>
              <w:jc w:val="center"/>
              <w:rPr>
                <w:rFonts w:ascii="Times New Roman" w:hAnsi="Times New Roman" w:cs="Times New Roman"/>
                <w:sz w:val="28"/>
              </w:rPr>
            </w:pPr>
            <w:r>
              <w:rPr>
                <w:rFonts w:ascii="Times New Roman" w:hAnsi="Times New Roman" w:cs="Times New Roman"/>
                <w:sz w:val="28"/>
              </w:rPr>
              <w:t>Low</w:t>
            </w:r>
          </w:p>
        </w:tc>
      </w:tr>
      <w:tr w:rsidR="00CE469B" w:rsidTr="00CE469B">
        <w:tc>
          <w:tcPr>
            <w:tcW w:w="5958" w:type="dxa"/>
            <w:tcBorders>
              <w:left w:val="single" w:sz="18" w:space="0" w:color="auto"/>
              <w:right w:val="dashSmallGap" w:sz="4" w:space="0" w:color="auto"/>
            </w:tcBorders>
          </w:tcPr>
          <w:p w:rsidR="00CE469B" w:rsidRDefault="00CE469B">
            <w:pPr>
              <w:rPr>
                <w:rFonts w:ascii="Times New Roman" w:hAnsi="Times New Roman" w:cs="Times New Roman"/>
                <w:sz w:val="28"/>
              </w:rPr>
            </w:pPr>
            <w:r>
              <w:rPr>
                <w:rFonts w:ascii="Times New Roman" w:hAnsi="Times New Roman" w:cs="Times New Roman"/>
                <w:sz w:val="28"/>
              </w:rPr>
              <w:t>Concentration of buyers relative to suppliers</w:t>
            </w:r>
          </w:p>
        </w:tc>
        <w:tc>
          <w:tcPr>
            <w:tcW w:w="117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p>
        </w:tc>
        <w:tc>
          <w:tcPr>
            <w:tcW w:w="126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188" w:type="dxa"/>
            <w:tcBorders>
              <w:left w:val="dashSmallGap" w:sz="4" w:space="0" w:color="auto"/>
              <w:right w:val="single" w:sz="18" w:space="0" w:color="auto"/>
            </w:tcBorders>
          </w:tcPr>
          <w:p w:rsidR="00CE469B" w:rsidRDefault="00CE469B" w:rsidP="00CE469B">
            <w:pPr>
              <w:jc w:val="center"/>
              <w:rPr>
                <w:rFonts w:ascii="Times New Roman" w:hAnsi="Times New Roman" w:cs="Times New Roman"/>
                <w:sz w:val="28"/>
              </w:rPr>
            </w:pPr>
          </w:p>
        </w:tc>
      </w:tr>
      <w:tr w:rsidR="00CE469B" w:rsidTr="00CE469B">
        <w:tc>
          <w:tcPr>
            <w:tcW w:w="5958" w:type="dxa"/>
            <w:tcBorders>
              <w:left w:val="single" w:sz="18" w:space="0" w:color="auto"/>
              <w:right w:val="dashSmallGap" w:sz="4" w:space="0" w:color="auto"/>
            </w:tcBorders>
          </w:tcPr>
          <w:p w:rsidR="00CE469B" w:rsidRDefault="00CE469B">
            <w:pPr>
              <w:rPr>
                <w:rFonts w:ascii="Times New Roman" w:hAnsi="Times New Roman" w:cs="Times New Roman"/>
                <w:sz w:val="28"/>
              </w:rPr>
            </w:pPr>
            <w:r>
              <w:rPr>
                <w:rFonts w:ascii="Times New Roman" w:hAnsi="Times New Roman" w:cs="Times New Roman"/>
                <w:sz w:val="28"/>
              </w:rPr>
              <w:t>Switching costs</w:t>
            </w:r>
          </w:p>
        </w:tc>
        <w:tc>
          <w:tcPr>
            <w:tcW w:w="117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p>
        </w:tc>
        <w:tc>
          <w:tcPr>
            <w:tcW w:w="126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p>
        </w:tc>
        <w:tc>
          <w:tcPr>
            <w:tcW w:w="1188" w:type="dxa"/>
            <w:tcBorders>
              <w:left w:val="dashSmallGap" w:sz="4" w:space="0" w:color="auto"/>
              <w:right w:val="single" w:sz="18" w:space="0" w:color="auto"/>
            </w:tcBorders>
          </w:tcPr>
          <w:p w:rsidR="00CE469B" w:rsidRDefault="00CE469B" w:rsidP="00CE469B">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r>
      <w:tr w:rsidR="00CE469B" w:rsidTr="00CE469B">
        <w:tc>
          <w:tcPr>
            <w:tcW w:w="5958" w:type="dxa"/>
            <w:tcBorders>
              <w:left w:val="single" w:sz="18" w:space="0" w:color="auto"/>
              <w:right w:val="dashSmallGap" w:sz="4" w:space="0" w:color="auto"/>
            </w:tcBorders>
          </w:tcPr>
          <w:p w:rsidR="00CE469B" w:rsidRDefault="00CE469B">
            <w:pPr>
              <w:rPr>
                <w:rFonts w:ascii="Times New Roman" w:hAnsi="Times New Roman" w:cs="Times New Roman"/>
                <w:sz w:val="28"/>
              </w:rPr>
            </w:pPr>
            <w:r>
              <w:rPr>
                <w:rFonts w:ascii="Times New Roman" w:hAnsi="Times New Roman" w:cs="Times New Roman"/>
                <w:sz w:val="28"/>
              </w:rPr>
              <w:t>Product differentiation of suppliers</w:t>
            </w:r>
          </w:p>
        </w:tc>
        <w:tc>
          <w:tcPr>
            <w:tcW w:w="117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p>
        </w:tc>
        <w:tc>
          <w:tcPr>
            <w:tcW w:w="126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188" w:type="dxa"/>
            <w:tcBorders>
              <w:left w:val="dashSmallGap" w:sz="4" w:space="0" w:color="auto"/>
              <w:right w:val="single" w:sz="18" w:space="0" w:color="auto"/>
            </w:tcBorders>
          </w:tcPr>
          <w:p w:rsidR="00CE469B" w:rsidRDefault="00CE469B" w:rsidP="00CE469B">
            <w:pPr>
              <w:jc w:val="center"/>
              <w:rPr>
                <w:rFonts w:ascii="Times New Roman" w:hAnsi="Times New Roman" w:cs="Times New Roman"/>
                <w:sz w:val="28"/>
              </w:rPr>
            </w:pPr>
          </w:p>
        </w:tc>
      </w:tr>
      <w:tr w:rsidR="00CE469B" w:rsidTr="00CE469B">
        <w:tc>
          <w:tcPr>
            <w:tcW w:w="5958" w:type="dxa"/>
            <w:tcBorders>
              <w:left w:val="single" w:sz="18" w:space="0" w:color="auto"/>
              <w:right w:val="dashSmallGap" w:sz="4" w:space="0" w:color="auto"/>
            </w:tcBorders>
          </w:tcPr>
          <w:p w:rsidR="00CE469B" w:rsidRDefault="00CE469B">
            <w:pPr>
              <w:rPr>
                <w:rFonts w:ascii="Times New Roman" w:hAnsi="Times New Roman" w:cs="Times New Roman"/>
                <w:sz w:val="28"/>
              </w:rPr>
            </w:pPr>
            <w:r>
              <w:rPr>
                <w:rFonts w:ascii="Times New Roman" w:hAnsi="Times New Roman" w:cs="Times New Roman"/>
                <w:sz w:val="28"/>
              </w:rPr>
              <w:t>Threat of backward integration of buyers</w:t>
            </w:r>
          </w:p>
        </w:tc>
        <w:tc>
          <w:tcPr>
            <w:tcW w:w="117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p>
        </w:tc>
        <w:tc>
          <w:tcPr>
            <w:tcW w:w="126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188" w:type="dxa"/>
            <w:tcBorders>
              <w:left w:val="dashSmallGap" w:sz="4" w:space="0" w:color="auto"/>
              <w:right w:val="single" w:sz="18" w:space="0" w:color="auto"/>
            </w:tcBorders>
          </w:tcPr>
          <w:p w:rsidR="00CE469B" w:rsidRDefault="00CE469B" w:rsidP="00CE469B">
            <w:pPr>
              <w:jc w:val="center"/>
              <w:rPr>
                <w:rFonts w:ascii="Times New Roman" w:hAnsi="Times New Roman" w:cs="Times New Roman"/>
                <w:sz w:val="28"/>
              </w:rPr>
            </w:pPr>
          </w:p>
        </w:tc>
      </w:tr>
      <w:tr w:rsidR="00CE469B" w:rsidTr="00CE469B">
        <w:tc>
          <w:tcPr>
            <w:tcW w:w="5958" w:type="dxa"/>
            <w:tcBorders>
              <w:left w:val="single" w:sz="18" w:space="0" w:color="auto"/>
              <w:right w:val="dashSmallGap" w:sz="4" w:space="0" w:color="auto"/>
            </w:tcBorders>
          </w:tcPr>
          <w:p w:rsidR="00CE469B" w:rsidRDefault="00CE469B">
            <w:pPr>
              <w:rPr>
                <w:rFonts w:ascii="Times New Roman" w:hAnsi="Times New Roman" w:cs="Times New Roman"/>
                <w:sz w:val="28"/>
              </w:rPr>
            </w:pPr>
            <w:r>
              <w:rPr>
                <w:rFonts w:ascii="Times New Roman" w:hAnsi="Times New Roman" w:cs="Times New Roman"/>
                <w:sz w:val="28"/>
              </w:rPr>
              <w:t>Extent of buyer’s profile</w:t>
            </w:r>
          </w:p>
        </w:tc>
        <w:tc>
          <w:tcPr>
            <w:tcW w:w="117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260" w:type="dxa"/>
            <w:tcBorders>
              <w:left w:val="dashSmallGap" w:sz="4" w:space="0" w:color="auto"/>
              <w:right w:val="dashSmallGap" w:sz="4" w:space="0" w:color="auto"/>
            </w:tcBorders>
          </w:tcPr>
          <w:p w:rsidR="00CE469B" w:rsidRDefault="00CE469B" w:rsidP="00CE469B">
            <w:pPr>
              <w:jc w:val="center"/>
              <w:rPr>
                <w:rFonts w:ascii="Times New Roman" w:hAnsi="Times New Roman" w:cs="Times New Roman"/>
                <w:sz w:val="28"/>
              </w:rPr>
            </w:pPr>
          </w:p>
        </w:tc>
        <w:tc>
          <w:tcPr>
            <w:tcW w:w="1188" w:type="dxa"/>
            <w:tcBorders>
              <w:left w:val="dashSmallGap" w:sz="4" w:space="0" w:color="auto"/>
              <w:right w:val="single" w:sz="18" w:space="0" w:color="auto"/>
            </w:tcBorders>
          </w:tcPr>
          <w:p w:rsidR="00CE469B" w:rsidRDefault="00CE469B" w:rsidP="00CE469B">
            <w:pPr>
              <w:jc w:val="center"/>
              <w:rPr>
                <w:rFonts w:ascii="Times New Roman" w:hAnsi="Times New Roman" w:cs="Times New Roman"/>
                <w:sz w:val="28"/>
              </w:rPr>
            </w:pPr>
          </w:p>
        </w:tc>
      </w:tr>
      <w:tr w:rsidR="00CE469B" w:rsidTr="00CE469B">
        <w:tc>
          <w:tcPr>
            <w:tcW w:w="5958" w:type="dxa"/>
            <w:tcBorders>
              <w:left w:val="single" w:sz="18" w:space="0" w:color="auto"/>
              <w:bottom w:val="thinThickSmallGap" w:sz="24" w:space="0" w:color="auto"/>
              <w:right w:val="dashSmallGap" w:sz="4" w:space="0" w:color="auto"/>
            </w:tcBorders>
          </w:tcPr>
          <w:p w:rsidR="00CE469B" w:rsidRDefault="00CE469B">
            <w:pPr>
              <w:rPr>
                <w:rFonts w:ascii="Times New Roman" w:hAnsi="Times New Roman" w:cs="Times New Roman"/>
                <w:sz w:val="28"/>
              </w:rPr>
            </w:pPr>
            <w:r>
              <w:rPr>
                <w:rFonts w:ascii="Times New Roman" w:hAnsi="Times New Roman" w:cs="Times New Roman"/>
                <w:sz w:val="28"/>
              </w:rPr>
              <w:t>Importance of suppliers input to quality of buyer’s final product</w:t>
            </w:r>
          </w:p>
        </w:tc>
        <w:tc>
          <w:tcPr>
            <w:tcW w:w="1170" w:type="dxa"/>
            <w:tcBorders>
              <w:left w:val="dashSmallGap" w:sz="4" w:space="0" w:color="auto"/>
              <w:bottom w:val="thinThickSmallGap" w:sz="24" w:space="0" w:color="auto"/>
              <w:right w:val="dashSmallGap" w:sz="4" w:space="0" w:color="auto"/>
            </w:tcBorders>
          </w:tcPr>
          <w:p w:rsidR="00CE469B" w:rsidRDefault="00CE469B" w:rsidP="00CE469B">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260" w:type="dxa"/>
            <w:tcBorders>
              <w:left w:val="dashSmallGap" w:sz="4" w:space="0" w:color="auto"/>
              <w:bottom w:val="thinThickSmallGap" w:sz="24" w:space="0" w:color="auto"/>
              <w:right w:val="dashSmallGap" w:sz="4" w:space="0" w:color="auto"/>
            </w:tcBorders>
          </w:tcPr>
          <w:p w:rsidR="00CE469B" w:rsidRDefault="00CE469B" w:rsidP="00CE469B">
            <w:pPr>
              <w:jc w:val="center"/>
              <w:rPr>
                <w:rFonts w:ascii="Times New Roman" w:hAnsi="Times New Roman" w:cs="Times New Roman"/>
                <w:sz w:val="28"/>
              </w:rPr>
            </w:pPr>
          </w:p>
        </w:tc>
        <w:tc>
          <w:tcPr>
            <w:tcW w:w="1188" w:type="dxa"/>
            <w:tcBorders>
              <w:left w:val="dashSmallGap" w:sz="4" w:space="0" w:color="auto"/>
              <w:bottom w:val="thinThickSmallGap" w:sz="24" w:space="0" w:color="auto"/>
              <w:right w:val="single" w:sz="18" w:space="0" w:color="auto"/>
            </w:tcBorders>
          </w:tcPr>
          <w:p w:rsidR="00CE469B" w:rsidRDefault="00CE469B" w:rsidP="00CE469B">
            <w:pPr>
              <w:jc w:val="center"/>
              <w:rPr>
                <w:rFonts w:ascii="Times New Roman" w:hAnsi="Times New Roman" w:cs="Times New Roman"/>
                <w:sz w:val="28"/>
              </w:rPr>
            </w:pPr>
          </w:p>
        </w:tc>
      </w:tr>
    </w:tbl>
    <w:p w:rsidR="00CE469B" w:rsidRDefault="00CE469B">
      <w:pPr>
        <w:rPr>
          <w:rFonts w:ascii="Times New Roman" w:hAnsi="Times New Roman" w:cs="Times New Roman"/>
          <w:sz w:val="28"/>
        </w:rPr>
      </w:pPr>
    </w:p>
    <w:p w:rsidR="00CE469B" w:rsidRPr="00CE469B" w:rsidRDefault="00CE469B">
      <w:pPr>
        <w:rPr>
          <w:rFonts w:ascii="Times New Roman" w:hAnsi="Times New Roman" w:cs="Times New Roman"/>
          <w:sz w:val="28"/>
        </w:rPr>
      </w:pPr>
      <w:r w:rsidRPr="00CE469B">
        <w:rPr>
          <w:rFonts w:ascii="Times New Roman" w:hAnsi="Times New Roman" w:cs="Times New Roman"/>
          <w:sz w:val="28"/>
        </w:rPr>
        <w:t>The bargaining power of buyers is medium-high. With the numerous available choices of fast-food in Philippines buyers are able to choose which restaurants they would want to patronize.</w:t>
      </w:r>
      <w:r>
        <w:rPr>
          <w:rFonts w:ascii="Times New Roman" w:hAnsi="Times New Roman" w:cs="Times New Roman"/>
          <w:sz w:val="28"/>
        </w:rPr>
        <w:t xml:space="preserve"> </w:t>
      </w:r>
      <w:r w:rsidRPr="00CE469B">
        <w:rPr>
          <w:rFonts w:ascii="Times New Roman" w:hAnsi="Times New Roman" w:cs="Times New Roman"/>
          <w:sz w:val="28"/>
        </w:rPr>
        <w:t>Switching from eating at Jollibee to McDonalds has little impact on the buyers’ wallet and this poses one of the main blocks in determining if the firm is able to earn above-average returns.</w:t>
      </w:r>
      <w:bookmarkStart w:id="0" w:name="_GoBack"/>
      <w:bookmarkEnd w:id="0"/>
    </w:p>
    <w:sectPr w:rsidR="00CE469B" w:rsidRPr="00CE4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9B"/>
    <w:rsid w:val="000F0358"/>
    <w:rsid w:val="001C07F8"/>
    <w:rsid w:val="006242DF"/>
    <w:rsid w:val="00CE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46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108</Words>
  <Characters>617</Characters>
  <Application>Microsoft Office Word</Application>
  <DocSecurity>0</DocSecurity>
  <Lines>5</Lines>
  <Paragraphs>1</Paragraphs>
  <ScaleCrop>false</ScaleCrop>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2012-08-09T07:26:00Z</dcterms:created>
  <dcterms:modified xsi:type="dcterms:W3CDTF">2012-08-09T07:33:00Z</dcterms:modified>
</cp:coreProperties>
</file>